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40"/>
      </w:pPr>
      <w:r>
        <w:rPr>
          <w:rFonts w:ascii="Aptos" w:cs="Aptos" w:hAnsi="Aptos" w:eastAsia="Aptos"/>
          <w:b w:val="1"/>
          <w:bCs w:val="1"/>
          <w:outline w:val="0"/>
          <w:color w:val="4e6f8a"/>
          <w:sz w:val="17"/>
          <w:szCs w:val="17"/>
          <w:u w:color="4e6f8a"/>
          <w:rtl w:val="0"/>
          <w:lang w:val="en-US"/>
          <w14:textFill>
            <w14:solidFill>
              <w14:srgbClr w14:val="4E6F8A"/>
            </w14:solidFill>
          </w14:textFill>
        </w:rPr>
        <w:t>EDITABLE TEMPLATE</w:t>
      </w:r>
    </w:p>
    <w:p>
      <w:pPr>
        <w:pStyle w:val="Title"/>
        <w:keepNext w:val="1"/>
      </w:pPr>
      <w:r>
        <w:rPr>
          <w:rtl w:val="0"/>
          <w:lang w:val="en-US"/>
        </w:rPr>
        <w:t>Production Inventory &amp; Resource Management</w:t>
      </w:r>
      <w:r>
        <w:br w:type="textWrapping"/>
      </w:r>
      <w:r>
        <w:rPr>
          <w:rtl w:val="0"/>
          <w:lang w:val="en-US"/>
        </w:rPr>
        <w:t>Budget Justification</w:t>
      </w:r>
    </w:p>
    <w:tbl>
      <w:tblPr>
        <w:tblW w:w="10080"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80"/>
      </w:tblGrid>
      <w:tr>
        <w:tblPrEx>
          <w:shd w:val="clear" w:color="auto" w:fill="ced7e7"/>
        </w:tblPrEx>
        <w:trPr>
          <w:trHeight w:val="1182" w:hRule="atLeast"/>
        </w:trPr>
        <w:tc>
          <w:tcPr>
            <w:tcW w:type="dxa" w:w="10080"/>
            <w:tcBorders>
              <w:top w:val="nil"/>
              <w:left w:val="nil"/>
              <w:bottom w:val="nil"/>
              <w:right w:val="nil"/>
            </w:tcBorders>
            <w:shd w:val="clear" w:color="auto" w:fill="eef3f6"/>
            <w:tcMar>
              <w:top w:type="dxa" w:w="80"/>
              <w:left w:type="dxa" w:w="80"/>
              <w:bottom w:type="dxa" w:w="80"/>
              <w:right w:type="dxa" w:w="80"/>
            </w:tcMar>
            <w:vAlign w:val="top"/>
          </w:tcPr>
          <w:p>
            <w:pPr>
              <w:pStyle w:val="Body A"/>
              <w:spacing w:after="60"/>
              <w:rPr>
                <w:shd w:val="nil" w:color="auto" w:fill="auto"/>
              </w:rPr>
            </w:pPr>
            <w:r>
              <w:rPr>
                <w:rFonts w:ascii="Aptos" w:cs="Aptos" w:hAnsi="Aptos" w:eastAsia="Aptos"/>
                <w:b w:val="1"/>
                <w:bCs w:val="1"/>
                <w:outline w:val="0"/>
                <w:color w:val="24344d"/>
                <w:u w:color="24344d"/>
                <w:shd w:val="nil" w:color="auto" w:fill="auto"/>
                <w:rtl w:val="0"/>
                <w:lang w:val="en-US"/>
                <w14:textFill>
                  <w14:solidFill>
                    <w14:srgbClr w14:val="24344D"/>
                  </w14:solidFill>
                </w14:textFill>
              </w:rPr>
              <w:t>How to use this template</w:t>
            </w:r>
          </w:p>
          <w:p>
            <w:pPr>
              <w:pStyle w:val="Body A"/>
              <w:bidi w:val="0"/>
              <w:spacing w:after="0"/>
              <w:ind w:left="0" w:right="0" w:firstLine="0"/>
              <w:jc w:val="left"/>
              <w:rPr>
                <w:rtl w:val="0"/>
              </w:rPr>
            </w:pPr>
            <w:r>
              <w:rPr>
                <w:shd w:val="nil" w:color="auto" w:fill="auto"/>
                <w:rtl w:val="0"/>
                <w:lang w:val="en-US"/>
              </w:rPr>
              <w:t>Replace the blue bracketed prompts with your department's information. Delete any sections that do not apply. The goal is a short internal memo that explains the institutional need, the current challenge, and the support required to manage production resources responsibly.</w:t>
            </w:r>
          </w:p>
        </w:tc>
      </w:tr>
    </w:tbl>
    <w:p>
      <w:pPr>
        <w:pStyle w:val="Body A"/>
        <w:widowControl w:val="0"/>
        <w:spacing w:after="160" w:line="240" w:lineRule="auto"/>
        <w:ind w:left="108" w:hanging="108"/>
        <w:jc w:val="center"/>
      </w:pPr>
    </w:p>
    <w:p>
      <w:pPr>
        <w:pStyle w:val="Heading"/>
      </w:pPr>
      <w:r>
        <w:rPr>
          <w:rtl w:val="0"/>
          <w:lang w:val="en-US"/>
        </w:rPr>
        <w:t>1. Request Summary</w:t>
      </w:r>
    </w:p>
    <w:tbl>
      <w:tblPr>
        <w:tblW w:w="10080"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40"/>
        <w:gridCol w:w="5040"/>
      </w:tblGrid>
      <w:tr>
        <w:tblPrEx>
          <w:shd w:val="clear" w:color="auto" w:fill="ced7e7"/>
        </w:tblPrEx>
        <w:trPr>
          <w:trHeight w:val="240" w:hRule="atLeast"/>
        </w:trPr>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eef3f6"/>
            <w:tcMar>
              <w:top w:type="dxa" w:w="80"/>
              <w:left w:type="dxa" w:w="80"/>
              <w:bottom w:type="dxa" w:w="80"/>
              <w:right w:type="dxa" w:w="80"/>
            </w:tcMar>
            <w:vAlign w:val="center"/>
          </w:tcPr>
          <w:p>
            <w:pPr>
              <w:pStyle w:val="Body A"/>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Department / Program</w:t>
            </w:r>
          </w:p>
        </w:tc>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ffffff"/>
            <w:tcMar>
              <w:top w:type="dxa" w:w="80"/>
              <w:left w:type="dxa" w:w="80"/>
              <w:bottom w:type="dxa" w:w="80"/>
              <w:right w:type="dxa" w:w="80"/>
            </w:tcMar>
            <w:vAlign w:val="center"/>
          </w:tcPr>
          <w:p>
            <w:pPr>
              <w:pStyle w:val="Body A"/>
            </w:pPr>
            <w:r>
              <w:rPr>
                <w:rFonts w:ascii="Aptos" w:cs="Aptos" w:hAnsi="Aptos" w:eastAsia="Aptos"/>
                <w:i w:val="1"/>
                <w:iCs w:val="1"/>
                <w:outline w:val="0"/>
                <w:color w:val="2f6f8f"/>
                <w:sz w:val="19"/>
                <w:szCs w:val="19"/>
                <w:u w:color="2f6f8f"/>
                <w:shd w:val="nil" w:color="auto" w:fill="auto"/>
                <w:rtl w:val="0"/>
                <w:lang w:val="en-US"/>
                <w14:textFill>
                  <w14:solidFill>
                    <w14:srgbClr w14:val="2F6F8F"/>
                  </w14:solidFill>
                </w14:textFill>
              </w:rPr>
              <w:t>[Department or program name]</w:t>
            </w:r>
          </w:p>
        </w:tc>
      </w:tr>
      <w:tr>
        <w:tblPrEx>
          <w:shd w:val="clear" w:color="auto" w:fill="ced7e7"/>
        </w:tblPrEx>
        <w:trPr>
          <w:trHeight w:val="600" w:hRule="atLeast"/>
        </w:trPr>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eef3f6"/>
            <w:tcMar>
              <w:top w:type="dxa" w:w="80"/>
              <w:left w:type="dxa" w:w="80"/>
              <w:bottom w:type="dxa" w:w="80"/>
              <w:right w:type="dxa" w:w="80"/>
            </w:tcMar>
            <w:vAlign w:val="center"/>
          </w:tcPr>
          <w:p>
            <w:pPr>
              <w:pStyle w:val="Body"/>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Requested software</w:t>
            </w:r>
          </w:p>
        </w:tc>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ffffff"/>
            <w:tcMar>
              <w:top w:type="dxa" w:w="80"/>
              <w:left w:type="dxa" w:w="80"/>
              <w:bottom w:type="dxa" w:w="80"/>
              <w:right w:type="dxa" w:w="80"/>
            </w:tcMar>
            <w:vAlign w:val="center"/>
          </w:tcPr>
          <w:p>
            <w:pPr>
              <w:pStyle w:val="Body"/>
            </w:pPr>
            <w:r>
              <w:rPr>
                <w:shd w:val="nil" w:color="auto" w:fill="auto"/>
                <w:rtl w:val="0"/>
                <w:lang w:val="en-US"/>
              </w:rPr>
              <w:t>Propared inventory management &amp; scheduling software</w:t>
            </w:r>
          </w:p>
        </w:tc>
      </w:tr>
      <w:tr>
        <w:tblPrEx>
          <w:shd w:val="clear" w:color="auto" w:fill="ced7e7"/>
        </w:tblPrEx>
        <w:trPr>
          <w:trHeight w:val="240" w:hRule="atLeast"/>
        </w:trPr>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eef3f6"/>
            <w:tcMar>
              <w:top w:type="dxa" w:w="80"/>
              <w:left w:type="dxa" w:w="80"/>
              <w:bottom w:type="dxa" w:w="80"/>
              <w:right w:type="dxa" w:w="80"/>
            </w:tcMar>
            <w:vAlign w:val="center"/>
          </w:tcPr>
          <w:p>
            <w:pPr>
              <w:pStyle w:val="Body A"/>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Annual cost</w:t>
            </w:r>
          </w:p>
        </w:tc>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ffffff"/>
            <w:tcMar>
              <w:top w:type="dxa" w:w="80"/>
              <w:left w:type="dxa" w:w="80"/>
              <w:bottom w:type="dxa" w:w="80"/>
              <w:right w:type="dxa" w:w="80"/>
            </w:tcMar>
            <w:vAlign w:val="center"/>
          </w:tcPr>
          <w:p>
            <w:pPr>
              <w:pStyle w:val="Body A"/>
            </w:pPr>
            <w:r>
              <w:rPr>
                <w:rFonts w:ascii="Aptos" w:cs="Aptos" w:hAnsi="Aptos" w:eastAsia="Aptos"/>
                <w:i w:val="1"/>
                <w:iCs w:val="1"/>
                <w:outline w:val="0"/>
                <w:color w:val="2f6f8f"/>
                <w:sz w:val="19"/>
                <w:szCs w:val="19"/>
                <w:u w:color="2f6f8f"/>
                <w:shd w:val="nil" w:color="auto" w:fill="auto"/>
                <w:rtl w:val="0"/>
                <w:lang w:val="en-US"/>
                <w14:textFill>
                  <w14:solidFill>
                    <w14:srgbClr w14:val="2F6F8F"/>
                  </w14:solidFill>
                </w14:textFill>
              </w:rPr>
              <w:t>[$ annual subscription / renewal amount]</w:t>
            </w:r>
          </w:p>
        </w:tc>
      </w:tr>
      <w:tr>
        <w:tblPrEx>
          <w:shd w:val="clear" w:color="auto" w:fill="ced7e7"/>
        </w:tblPrEx>
        <w:trPr>
          <w:trHeight w:val="477" w:hRule="atLeast"/>
        </w:trPr>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eef3f6"/>
            <w:tcMar>
              <w:top w:type="dxa" w:w="80"/>
              <w:left w:type="dxa" w:w="80"/>
              <w:bottom w:type="dxa" w:w="80"/>
              <w:right w:type="dxa" w:w="80"/>
            </w:tcMar>
            <w:vAlign w:val="center"/>
          </w:tcPr>
          <w:p>
            <w:pPr>
              <w:pStyle w:val="Body A"/>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Requested action</w:t>
            </w:r>
          </w:p>
        </w:tc>
        <w:tc>
          <w:tcPr>
            <w:tcW w:type="dxa" w:w="5040"/>
            <w:tcBorders>
              <w:top w:val="single" w:color="d9e1e6" w:sz="4" w:space="0" w:shadow="0" w:frame="0"/>
              <w:left w:val="single" w:color="d9e1e6" w:sz="4" w:space="0" w:shadow="0" w:frame="0"/>
              <w:bottom w:val="single" w:color="d9e1e6" w:sz="4" w:space="0" w:shadow="0" w:frame="0"/>
              <w:right w:val="single" w:color="d9e1e6" w:sz="4" w:space="0" w:shadow="0" w:frame="0"/>
            </w:tcBorders>
            <w:shd w:val="clear" w:color="auto" w:fill="ffffff"/>
            <w:tcMar>
              <w:top w:type="dxa" w:w="80"/>
              <w:left w:type="dxa" w:w="80"/>
              <w:bottom w:type="dxa" w:w="80"/>
              <w:right w:type="dxa" w:w="80"/>
            </w:tcMar>
            <w:vAlign w:val="center"/>
          </w:tcPr>
          <w:p>
            <w:pPr>
              <w:pStyle w:val="Body A"/>
            </w:pPr>
            <w:r>
              <w:rPr>
                <w:rFonts w:ascii="Aptos" w:cs="Aptos" w:hAnsi="Aptos" w:eastAsia="Aptos"/>
                <w:i w:val="1"/>
                <w:iCs w:val="1"/>
                <w:outline w:val="0"/>
                <w:color w:val="2f6f8f"/>
                <w:sz w:val="19"/>
                <w:szCs w:val="19"/>
                <w:u w:color="2f6f8f"/>
                <w:shd w:val="nil" w:color="auto" w:fill="auto"/>
                <w:rtl w:val="0"/>
                <w:lang w:val="en-US"/>
                <w14:textFill>
                  <w14:solidFill>
                    <w14:srgbClr w14:val="2F6F8F"/>
                  </w14:solidFill>
                </w14:textFill>
              </w:rPr>
              <w:t>[Approve new purchase / renew existing subscription / approve implementation resources]</w:t>
            </w:r>
          </w:p>
        </w:tc>
      </w:tr>
    </w:tbl>
    <w:p>
      <w:pPr>
        <w:pStyle w:val="Heading"/>
        <w:widowControl w:val="0"/>
        <w:spacing w:line="240" w:lineRule="auto"/>
        <w:ind w:left="108" w:hanging="108"/>
        <w:jc w:val="center"/>
      </w:pPr>
    </w:p>
    <w:p>
      <w:pPr>
        <w:pStyle w:val="Heading"/>
        <w:rPr>
          <w:lang w:val="fr-FR"/>
        </w:rPr>
      </w:pPr>
      <w:r>
        <w:rPr>
          <w:rtl w:val="0"/>
          <w:lang w:val="fr-FR"/>
        </w:rPr>
        <w:t>2. Institutional Context</w:t>
      </w:r>
    </w:p>
    <w:p>
      <w:pPr>
        <w:pStyle w:val="Body A"/>
      </w:pPr>
      <w:r>
        <w:rPr>
          <w:rtl w:val="0"/>
          <w:lang w:val="en-US"/>
        </w:rPr>
        <w:t>Our department is responsible for a substantial collection of university-owned production resources used across teaching, performances, events, and other institutional activity.</w:t>
      </w:r>
    </w:p>
    <w:tbl>
      <w:tblPr>
        <w:tblW w:w="10080"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360"/>
        <w:gridCol w:w="3360"/>
        <w:gridCol w:w="3360"/>
      </w:tblGrid>
      <w:tr>
        <w:tblPrEx>
          <w:shd w:val="clear" w:color="auto" w:fill="ced7e7"/>
        </w:tblPrEx>
        <w:trPr>
          <w:trHeight w:val="536" w:hRule="atLeast"/>
        </w:trPr>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40"/>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Approx. resource value</w:t>
            </w:r>
          </w:p>
          <w:p>
            <w:pPr>
              <w:pStyle w:val="Body A"/>
              <w:bidi w:val="0"/>
              <w:spacing w:after="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40"/>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Productions / events per year</w:t>
            </w:r>
          </w:p>
          <w:p>
            <w:pPr>
              <w:pStyle w:val="Body A"/>
              <w:bidi w:val="0"/>
              <w:spacing w:after="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40"/>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Resource / storage locations</w:t>
            </w:r>
          </w:p>
          <w:p>
            <w:pPr>
              <w:pStyle w:val="Body A"/>
              <w:bidi w:val="0"/>
              <w:spacing w:after="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r>
      <w:tr>
        <w:tblPrEx>
          <w:shd w:val="clear" w:color="auto" w:fill="ced7e7"/>
        </w:tblPrEx>
        <w:trPr>
          <w:trHeight w:val="536" w:hRule="atLeast"/>
        </w:trPr>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40"/>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Annual rentals</w:t>
            </w:r>
          </w:p>
          <w:p>
            <w:pPr>
              <w:pStyle w:val="Body A"/>
              <w:bidi w:val="0"/>
              <w:spacing w:after="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40"/>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Annual equipment purchases</w:t>
            </w:r>
          </w:p>
          <w:p>
            <w:pPr>
              <w:pStyle w:val="Body A"/>
              <w:bidi w:val="0"/>
              <w:spacing w:after="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40"/>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People using resources</w:t>
            </w:r>
          </w:p>
          <w:p>
            <w:pPr>
              <w:pStyle w:val="Body A"/>
              <w:bidi w:val="0"/>
              <w:spacing w:after="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r>
      <w:tr>
        <w:tblPrEx>
          <w:shd w:val="clear" w:color="auto" w:fill="ced7e7"/>
        </w:tblPrEx>
        <w:trPr>
          <w:trHeight w:val="470" w:hRule="atLeast"/>
        </w:trPr>
        <w:tc>
          <w:tcPr>
            <w:tcW w:type="dxa" w:w="336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Approx. years represented in collection</w:t>
            </w:r>
          </w:p>
          <w:p>
            <w:pPr>
              <w:pStyle w:val="Body"/>
              <w:bidi w:val="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[________]</w:t>
            </w:r>
          </w:p>
        </w:tc>
        <w:tc>
          <w:tcPr>
            <w:tcW w:type="dxa" w:w="6720"/>
            <w:gridSpan w:val="2"/>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w:rPr>
                <w:shd w:val="nil" w:color="auto" w:fill="auto"/>
              </w:rPr>
            </w:pPr>
            <w:r>
              <w:rPr>
                <w:rFonts w:ascii="Aptos" w:cs="Aptos" w:hAnsi="Aptos" w:eastAsia="Aptos"/>
                <w:b w:val="1"/>
                <w:bCs w:val="1"/>
                <w:outline w:val="0"/>
                <w:color w:val="5e6872"/>
                <w:sz w:val="17"/>
                <w:szCs w:val="17"/>
                <w:u w:color="5e6872"/>
                <w:shd w:val="nil" w:color="auto" w:fill="auto"/>
                <w:rtl w:val="0"/>
                <w:lang w:val="en-US"/>
                <w14:textFill>
                  <w14:solidFill>
                    <w14:srgbClr w14:val="5E6872"/>
                  </w14:solidFill>
                </w14:textFill>
              </w:rPr>
              <w:t>Optional context</w:t>
            </w:r>
          </w:p>
          <w:p>
            <w:pPr>
              <w:pStyle w:val="Body"/>
              <w:bidi w:val="0"/>
              <w:ind w:left="0" w:right="0" w:firstLine="0"/>
              <w:jc w:val="left"/>
              <w:rPr>
                <w:rtl w:val="0"/>
              </w:rPr>
            </w:pPr>
            <w:r>
              <w:rPr>
                <w:rFonts w:ascii="Aptos" w:cs="Aptos" w:hAnsi="Aptos" w:eastAsia="Aptos"/>
                <w:i w:val="1"/>
                <w:iCs w:val="1"/>
                <w:outline w:val="0"/>
                <w:color w:val="2f6f8f"/>
                <w:sz w:val="22"/>
                <w:szCs w:val="22"/>
                <w:u w:color="2f6f8f"/>
                <w:shd w:val="nil" w:color="auto" w:fill="auto"/>
                <w:rtl w:val="0"/>
                <w:lang w:val="en-US"/>
                <w14:textFill>
                  <w14:solidFill>
                    <w14:srgbClr w14:val="2F6F8F"/>
                  </w14:solidFill>
                </w14:textFill>
              </w:rPr>
              <w:t>[e.g., 40+ years of accumulated costumes / legacy technical equipment]</w:t>
            </w:r>
          </w:p>
        </w:tc>
      </w:tr>
    </w:tbl>
    <w:p>
      <w:pPr>
        <w:pStyle w:val="Body A"/>
        <w:widowControl w:val="0"/>
        <w:spacing w:line="240" w:lineRule="auto"/>
        <w:ind w:left="108" w:hanging="108"/>
        <w:jc w:val="center"/>
      </w:pPr>
    </w:p>
    <w:p>
      <w:pPr>
        <w:pStyle w:val="Body A"/>
      </w:pPr>
      <w:r>
        <w:rPr>
          <w:rFonts w:ascii="Aptos" w:cs="Aptos" w:hAnsi="Aptos" w:eastAsia="Aptos"/>
          <w:i w:val="1"/>
          <w:iCs w:val="1"/>
          <w:outline w:val="0"/>
          <w:color w:val="2f6f8f"/>
          <w:u w:color="2f6f8f"/>
          <w:rtl w:val="0"/>
          <w:lang w:val="en-US"/>
          <w14:textFill>
            <w14:solidFill>
              <w14:srgbClr w14:val="2F6F8F"/>
            </w14:solidFill>
          </w14:textFill>
        </w:rPr>
        <w:t>[Add 1-2 sentences describing the scale or complexity of your collection: e.g., decades of accumulated costumes, multiple venues, shared equipment, specialized technical assets, etc.]</w:t>
      </w:r>
    </w:p>
    <w:p>
      <w:pPr>
        <w:pStyle w:val="Heading"/>
      </w:pPr>
      <w:r>
        <w:rPr>
          <w:rtl w:val="0"/>
          <w:lang w:val="en-US"/>
        </w:rPr>
        <w:t>3. Why This Matters</w:t>
      </w:r>
    </w:p>
    <w:p>
      <w:pPr>
        <w:pStyle w:val="Body A"/>
      </w:pPr>
      <w:r>
        <w:rPr>
          <w:rtl w:val="0"/>
          <w:lang w:val="en-US"/>
        </w:rPr>
        <w:t>Production resource management supports several university priorities. Keep the points most relevant to your institution and add local examples where possible.</w:t>
      </w:r>
    </w:p>
    <w:tbl>
      <w:tblPr>
        <w:tblW w:w="10080"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40"/>
        <w:gridCol w:w="5040"/>
      </w:tblGrid>
      <w:tr>
        <w:tblPrEx>
          <w:shd w:val="clear" w:color="auto" w:fill="ced7e7"/>
        </w:tblPrEx>
        <w:trPr>
          <w:trHeight w:val="735" w:hRule="atLeast"/>
        </w:trPr>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Stewardship</w:t>
            </w:r>
          </w:p>
          <w:p>
            <w:pPr>
              <w:pStyle w:val="Body A"/>
              <w:bidi w:val="0"/>
              <w:spacing w:after="0"/>
              <w:ind w:left="0" w:right="0" w:firstLine="0"/>
              <w:jc w:val="left"/>
              <w:rPr>
                <w:rtl w:val="0"/>
              </w:rPr>
            </w:pPr>
            <w:r>
              <w:rPr>
                <w:sz w:val="18"/>
                <w:szCs w:val="18"/>
                <w:shd w:val="nil" w:color="auto" w:fill="auto"/>
                <w:rtl w:val="0"/>
                <w:lang w:val="en-US"/>
              </w:rPr>
              <w:t>Reliable records of university-owned resources, locations, condition, and use.</w:t>
            </w:r>
          </w:p>
        </w:tc>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Risk &amp; Insurance</w:t>
            </w:r>
          </w:p>
          <w:p>
            <w:pPr>
              <w:pStyle w:val="Body A"/>
              <w:bidi w:val="0"/>
              <w:spacing w:after="0"/>
              <w:ind w:left="0" w:right="0" w:firstLine="0"/>
              <w:jc w:val="left"/>
              <w:rPr>
                <w:rtl w:val="0"/>
              </w:rPr>
            </w:pPr>
            <w:r>
              <w:rPr>
                <w:sz w:val="18"/>
                <w:szCs w:val="18"/>
                <w:shd w:val="nil" w:color="auto" w:fill="auto"/>
                <w:rtl w:val="0"/>
                <w:lang w:val="en-US"/>
              </w:rPr>
              <w:t>Documentation that can support claims, audits, theft reports, and loss assessment.</w:t>
            </w:r>
          </w:p>
        </w:tc>
      </w:tr>
      <w:tr>
        <w:tblPrEx>
          <w:shd w:val="clear" w:color="auto" w:fill="ced7e7"/>
        </w:tblPrEx>
        <w:trPr>
          <w:trHeight w:val="735" w:hRule="atLeast"/>
        </w:trPr>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Capital Planning</w:t>
            </w:r>
          </w:p>
          <w:p>
            <w:pPr>
              <w:pStyle w:val="Body A"/>
              <w:bidi w:val="0"/>
              <w:spacing w:after="0"/>
              <w:ind w:left="0" w:right="0" w:firstLine="0"/>
              <w:jc w:val="left"/>
              <w:rPr>
                <w:rtl w:val="0"/>
              </w:rPr>
            </w:pPr>
            <w:r>
              <w:rPr>
                <w:sz w:val="18"/>
                <w:szCs w:val="18"/>
                <w:shd w:val="nil" w:color="auto" w:fill="auto"/>
                <w:rtl w:val="0"/>
                <w:lang w:val="en-US"/>
              </w:rPr>
              <w:t>Condition and usage history for purchasing, replacement, rental, and capital requests.</w:t>
            </w:r>
          </w:p>
        </w:tc>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Knowledge Retention</w:t>
            </w:r>
          </w:p>
          <w:p>
            <w:pPr>
              <w:pStyle w:val="Body A"/>
              <w:bidi w:val="0"/>
              <w:spacing w:after="0"/>
              <w:ind w:left="0" w:right="0" w:firstLine="0"/>
              <w:jc w:val="left"/>
              <w:rPr>
                <w:rtl w:val="0"/>
              </w:rPr>
            </w:pPr>
            <w:r>
              <w:rPr>
                <w:sz w:val="18"/>
                <w:szCs w:val="18"/>
                <w:shd w:val="nil" w:color="auto" w:fill="auto"/>
                <w:rtl w:val="0"/>
                <w:lang w:val="en-US"/>
              </w:rPr>
              <w:t>Resource information that remains with the institution through turnover.</w:t>
            </w:r>
          </w:p>
        </w:tc>
      </w:tr>
      <w:tr>
        <w:tblPrEx>
          <w:shd w:val="clear" w:color="auto" w:fill="ced7e7"/>
        </w:tblPrEx>
        <w:trPr>
          <w:trHeight w:val="735" w:hRule="atLeast"/>
        </w:trPr>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Sustainability</w:t>
            </w:r>
          </w:p>
          <w:p>
            <w:pPr>
              <w:pStyle w:val="Body A"/>
              <w:bidi w:val="0"/>
              <w:spacing w:after="0"/>
              <w:ind w:left="0" w:right="0" w:firstLine="0"/>
              <w:jc w:val="left"/>
              <w:rPr>
                <w:rtl w:val="0"/>
              </w:rPr>
            </w:pPr>
            <w:r>
              <w:rPr>
                <w:sz w:val="18"/>
                <w:szCs w:val="18"/>
                <w:shd w:val="nil" w:color="auto" w:fill="auto"/>
                <w:rtl w:val="0"/>
                <w:lang w:val="en-US"/>
              </w:rPr>
              <w:t>Better visibility to find, reuse, adapt, and share what the university already owns.</w:t>
            </w:r>
          </w:p>
        </w:tc>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Utilization &amp; Cost Avoidance</w:t>
            </w:r>
          </w:p>
          <w:p>
            <w:pPr>
              <w:pStyle w:val="Body A"/>
              <w:bidi w:val="0"/>
              <w:spacing w:after="0"/>
              <w:ind w:left="0" w:right="0" w:firstLine="0"/>
              <w:jc w:val="left"/>
              <w:rPr>
                <w:rtl w:val="0"/>
              </w:rPr>
            </w:pPr>
            <w:r>
              <w:rPr>
                <w:sz w:val="18"/>
                <w:szCs w:val="18"/>
                <w:shd w:val="nil" w:color="auto" w:fill="auto"/>
                <w:rtl w:val="0"/>
                <w:lang w:val="en-US"/>
              </w:rPr>
              <w:t>Evidence of underused resources, storage needs, recurring rentals, and shortages.</w:t>
            </w:r>
          </w:p>
        </w:tc>
      </w:tr>
      <w:tr>
        <w:tblPrEx>
          <w:shd w:val="clear" w:color="auto" w:fill="ced7e7"/>
        </w:tblPrEx>
        <w:trPr>
          <w:trHeight w:val="740" w:hRule="atLeast"/>
        </w:trPr>
        <w:tc>
          <w:tcPr>
            <w:tcW w:type="dxa" w:w="5040"/>
            <w:tcBorders>
              <w:top w:val="single" w:color="e3e8eb" w:sz="4" w:space="0" w:shadow="0" w:frame="0"/>
              <w:left w:val="single" w:color="e3e8eb" w:sz="4" w:space="0" w:shadow="0" w:frame="0"/>
              <w:bottom w:val="single" w:color="e3e8eb" w:sz="4" w:space="0" w:shadow="0" w:frame="0"/>
              <w:right w:val="single" w:color="e3e8eb" w:sz="4" w:space="0" w:shadow="0" w:frame="0"/>
            </w:tcBorders>
            <w:shd w:val="clear" w:color="auto" w:fill="f7f9fa"/>
            <w:tcMar>
              <w:top w:type="dxa" w:w="80"/>
              <w:left w:type="dxa" w:w="80"/>
              <w:bottom w:type="dxa" w:w="80"/>
              <w:right w:type="dxa" w:w="80"/>
            </w:tcMar>
            <w:vAlign w:val="top"/>
          </w:tcPr>
          <w:p>
            <w:pPr>
              <w:pStyle w:val="Body A"/>
              <w:spacing w:after="20"/>
              <w:rPr>
                <w:shd w:val="nil" w:color="auto" w:fill="auto"/>
              </w:rPr>
            </w:pPr>
            <w:r>
              <w:rPr>
                <w:rFonts w:ascii="Aptos" w:cs="Aptos" w:hAnsi="Aptos" w:eastAsia="Aptos"/>
                <w:b w:val="1"/>
                <w:bCs w:val="1"/>
                <w:outline w:val="0"/>
                <w:color w:val="24344d"/>
                <w:sz w:val="19"/>
                <w:szCs w:val="19"/>
                <w:u w:color="24344d"/>
                <w:shd w:val="nil" w:color="auto" w:fill="auto"/>
                <w:rtl w:val="0"/>
                <w:lang w:val="en-US"/>
                <w14:textFill>
                  <w14:solidFill>
                    <w14:srgbClr w14:val="24344D"/>
                  </w14:solidFill>
                </w14:textFill>
              </w:rPr>
              <w:t>Student Learning</w:t>
            </w:r>
          </w:p>
          <w:p>
            <w:pPr>
              <w:pStyle w:val="Body A"/>
              <w:bidi w:val="0"/>
              <w:spacing w:after="0"/>
              <w:ind w:left="0" w:right="0" w:firstLine="0"/>
              <w:jc w:val="left"/>
              <w:rPr>
                <w:rtl w:val="0"/>
              </w:rPr>
            </w:pPr>
            <w:r>
              <w:rPr>
                <w:sz w:val="18"/>
                <w:szCs w:val="18"/>
                <w:shd w:val="nil" w:color="auto" w:fill="auto"/>
                <w:rtl w:val="0"/>
                <w:lang w:val="en-US"/>
              </w:rPr>
              <w:t>Practical experience with planning, allocation, accountability, and constrained-resource problem solving.</w:t>
            </w:r>
          </w:p>
        </w:tc>
        <w:tc>
          <w:tcPr>
            <w:tcW w:type="dxa" w:w="5040"/>
            <w:tcBorders>
              <w:top w:val="single" w:color="e3e8eb" w:sz="4" w:space="0" w:shadow="0" w:frame="0"/>
              <w:left w:val="single" w:color="e3e8eb" w:sz="4" w:space="0" w:shadow="0" w:frame="0"/>
              <w:bottom w:val="nil"/>
              <w:right w:val="nil"/>
            </w:tcBorders>
            <w:shd w:val="clear" w:color="auto" w:fill="ffffff"/>
            <w:tcMar>
              <w:top w:type="dxa" w:w="80"/>
              <w:left w:type="dxa" w:w="80"/>
              <w:bottom w:type="dxa" w:w="80"/>
              <w:right w:type="dxa" w:w="80"/>
            </w:tcMar>
            <w:vAlign w:val="top"/>
          </w:tcPr>
          <w:p/>
        </w:tc>
      </w:tr>
    </w:tbl>
    <w:p>
      <w:pPr>
        <w:pStyle w:val="Body A"/>
        <w:widowControl w:val="0"/>
        <w:spacing w:line="240" w:lineRule="auto"/>
        <w:ind w:left="108" w:hanging="108"/>
        <w:jc w:val="center"/>
      </w:pPr>
    </w:p>
    <w:p>
      <w:pPr>
        <w:pStyle w:val="Body A"/>
        <w:widowControl w:val="0"/>
        <w:spacing w:line="240" w:lineRule="auto"/>
        <w:jc w:val="center"/>
      </w:pPr>
    </w:p>
    <w:p>
      <w:pPr>
        <w:pStyle w:val="Heading"/>
      </w:pPr>
      <w:r>
        <w:rPr>
          <w:rtl w:val="0"/>
          <w:lang w:val="en-US"/>
        </w:rPr>
        <w:t>4. Current Challenge</w:t>
      </w:r>
    </w:p>
    <w:p>
      <w:pPr>
        <w:pStyle w:val="Body A"/>
      </w:pPr>
      <w:r>
        <w:rPr>
          <w:rFonts w:ascii="Aptos" w:cs="Aptos" w:hAnsi="Aptos" w:eastAsia="Aptos"/>
          <w:i w:val="1"/>
          <w:iCs w:val="1"/>
          <w:outline w:val="0"/>
          <w:color w:val="2f6f8f"/>
          <w:u w:color="2f6f8f"/>
          <w:rtl w:val="0"/>
          <w:lang w:val="en-US"/>
          <w14:textFill>
            <w14:solidFill>
              <w14:srgbClr w14:val="2F6F8F"/>
            </w14:solidFill>
          </w14:textFill>
        </w:rPr>
        <w:t>[Describe your current process, why it is insufficient, and one concrete consequence. Examples: spreadsheet records are incomplete or outdated; information is spread across multiple files or people; the current database records assets but is not connected to productions; usage history is unavailable; staff turnover has created knowledge gaps. Where possible, explain what this prevents you from doing or what cost it creates.]</w:t>
      </w:r>
    </w:p>
    <w:p>
      <w:pPr>
        <w:pStyle w:val="Body A"/>
        <w:spacing w:after="40"/>
      </w:pPr>
      <w:r>
        <w:rPr>
          <w:rtl w:val="0"/>
          <w:lang w:val="en-US"/>
        </w:rPr>
        <w:t>A short example can make the need concrete:</w:t>
      </w:r>
    </w:p>
    <w:p>
      <w:pPr>
        <w:pStyle w:val="Body A"/>
      </w:pPr>
      <w:r>
        <w:rPr>
          <w:rFonts w:ascii="Aptos" w:cs="Aptos" w:hAnsi="Aptos" w:eastAsia="Aptos"/>
          <w:i w:val="1"/>
          <w:iCs w:val="1"/>
          <w:outline w:val="0"/>
          <w:color w:val="2f6f8f"/>
          <w:u w:color="2f6f8f"/>
          <w:rtl w:val="0"/>
          <w:lang w:val="en-US"/>
          <w14:textFill>
            <w14:solidFill>
              <w14:srgbClr w14:val="2F6F8F"/>
            </w14:solidFill>
          </w14:textFill>
        </w:rPr>
        <w:t>[Example: We regularly rent ______ because we cannot reliably determine availability across our existing inventory / We cannot show whether recurring rental costs would justify a purchase / We have ______ square feet of storage but cannot identify which items have not been used in years / We currently rely on ______ to remember where resources are located.]</w:t>
      </w:r>
    </w:p>
    <w:p>
      <w:pPr>
        <w:pStyle w:val="Heading"/>
      </w:pPr>
      <w:r>
        <w:rPr>
          <w:rtl w:val="0"/>
          <w:lang w:val="en-US"/>
        </w:rPr>
        <w:t>5. Proposed Approach</w:t>
      </w:r>
    </w:p>
    <w:p>
      <w:pPr>
        <w:pStyle w:val="Body A"/>
        <w:spacing w:after="80"/>
      </w:pPr>
      <w:r>
        <w:rPr>
          <w:rtl w:val="0"/>
          <w:lang w:val="en-US"/>
        </w:rPr>
        <w:t>We propose using Propared as the department's production inventory &amp; resource management system. Propared allows the inventory record to be built and maintained through the normal course of production rather than as a separate administrative project.</w:t>
      </w:r>
    </w:p>
    <w:p>
      <w:pPr>
        <w:pStyle w:val="List Bullet"/>
        <w:numPr>
          <w:ilvl w:val="0"/>
          <w:numId w:val="2"/>
        </w:numPr>
        <w:bidi w:val="0"/>
        <w:spacing w:after="40"/>
        <w:ind w:right="0"/>
        <w:jc w:val="left"/>
        <w:rPr>
          <w:rtl w:val="0"/>
          <w:lang w:val="en-US"/>
        </w:rPr>
      </w:pPr>
      <w:r>
        <w:rPr>
          <w:rtl w:val="0"/>
          <w:lang w:val="en-US"/>
        </w:rPr>
        <w:t>Resources can be documented as they are encountered and used; the entire collection does not need to be catalogued before the system becomes useful.</w:t>
      </w:r>
    </w:p>
    <w:p>
      <w:pPr>
        <w:pStyle w:val="List Bullet"/>
        <w:numPr>
          <w:ilvl w:val="0"/>
          <w:numId w:val="2"/>
        </w:numPr>
        <w:bidi w:val="0"/>
        <w:spacing w:after="40"/>
        <w:ind w:right="0"/>
        <w:jc w:val="left"/>
        <w:rPr>
          <w:rtl w:val="0"/>
          <w:lang w:val="en-US"/>
        </w:rPr>
      </w:pPr>
      <w:r>
        <w:rPr>
          <w:rtl w:val="0"/>
          <w:lang w:val="en-US"/>
        </w:rPr>
        <w:t>Inventory is connected directly to productions, allowing resource information to be maintained alongside allocation and day-to-day production work.</w:t>
      </w:r>
    </w:p>
    <w:p>
      <w:pPr>
        <w:pStyle w:val="List Bullet"/>
        <w:numPr>
          <w:ilvl w:val="0"/>
          <w:numId w:val="2"/>
        </w:numPr>
        <w:bidi w:val="0"/>
        <w:spacing w:after="40"/>
        <w:ind w:right="0"/>
        <w:jc w:val="left"/>
        <w:rPr>
          <w:rtl w:val="0"/>
          <w:lang w:val="en-US"/>
        </w:rPr>
      </w:pPr>
      <w:r>
        <w:rPr>
          <w:rtl w:val="0"/>
          <w:lang w:val="en-US"/>
        </w:rPr>
        <w:t>Faculty, staff, production managers, students, and other participants can contribute to the record, distributing the work rather than placing it on one person.</w:t>
      </w:r>
    </w:p>
    <w:p>
      <w:pPr>
        <w:pStyle w:val="List Bullet"/>
        <w:numPr>
          <w:ilvl w:val="0"/>
          <w:numId w:val="2"/>
        </w:numPr>
        <w:bidi w:val="0"/>
        <w:spacing w:after="40"/>
        <w:ind w:right="0"/>
        <w:jc w:val="left"/>
        <w:rPr>
          <w:rtl w:val="0"/>
          <w:lang w:val="en-US"/>
        </w:rPr>
      </w:pPr>
      <w:r>
        <w:rPr>
          <w:rtl w:val="0"/>
          <w:lang w:val="en-US"/>
        </w:rPr>
        <w:t>The resulting records can support stewardship, risk documentation, capital planning, institutional knowledge, sustainability, cost avoidance, and student learning.</w:t>
      </w:r>
    </w:p>
    <w:p>
      <w:pPr>
        <w:pStyle w:val="Heading"/>
      </w:pPr>
      <w:r>
        <w:rPr>
          <w:rtl w:val="0"/>
          <w:lang w:val="en-US"/>
        </w:rPr>
        <w:t>6. Resources Required</w:t>
      </w:r>
    </w:p>
    <w:p>
      <w:pPr>
        <w:pStyle w:val="Body A"/>
        <w:spacing w:after="80"/>
      </w:pPr>
      <w:r>
        <w:rPr>
          <w:rtl w:val="0"/>
          <w:lang w:val="en-US"/>
        </w:rPr>
        <w:t>Responsible resource management requires both a system and an ongoing departmental process. The level of initial effort will depend on the current state of the collection, but Propared allows the department to begin using the system before every item has been catalogued.</w:t>
      </w:r>
    </w:p>
    <w:p>
      <w:pPr>
        <w:pStyle w:val="Body A"/>
        <w:spacing w:after="40"/>
      </w:pPr>
      <w:r>
        <w:rPr>
          <w:rFonts w:ascii="Aptos" w:cs="Aptos" w:hAnsi="Aptos" w:eastAsia="Aptos"/>
          <w:b w:val="1"/>
          <w:bCs w:val="1"/>
          <w:outline w:val="0"/>
          <w:color w:val="24344d"/>
          <w:u w:color="24344d"/>
          <w:rtl w:val="0"/>
          <w:lang w:val="en-US"/>
          <w14:textFill>
            <w14:solidFill>
              <w14:srgbClr w14:val="24344D"/>
            </w14:solidFill>
          </w14:textFill>
        </w:rPr>
        <w:t xml:space="preserve">Software: </w:t>
      </w:r>
      <w:r>
        <w:rPr>
          <w:rFonts w:ascii="Aptos" w:cs="Aptos" w:hAnsi="Aptos" w:eastAsia="Aptos"/>
          <w:i w:val="1"/>
          <w:iCs w:val="1"/>
          <w:outline w:val="0"/>
          <w:color w:val="2f6f8f"/>
          <w:u w:color="2f6f8f"/>
          <w:rtl w:val="0"/>
          <w:lang w:val="en-US"/>
          <w14:textFill>
            <w14:solidFill>
              <w14:srgbClr w14:val="2F6F8F"/>
            </w14:solidFill>
          </w14:textFill>
        </w:rPr>
        <w:t>[$ annual Propared cost]</w:t>
      </w:r>
    </w:p>
    <w:p>
      <w:pPr>
        <w:pStyle w:val="Body A"/>
        <w:spacing w:after="40"/>
      </w:pPr>
      <w:r>
        <w:rPr>
          <w:rFonts w:ascii="Aptos" w:cs="Aptos" w:hAnsi="Aptos" w:eastAsia="Aptos"/>
          <w:b w:val="1"/>
          <w:bCs w:val="1"/>
          <w:outline w:val="0"/>
          <w:color w:val="24344d"/>
          <w:u w:color="24344d"/>
          <w:rtl w:val="0"/>
          <w:lang w:val="en-US"/>
          <w14:textFill>
            <w14:solidFill>
              <w14:srgbClr w14:val="24344D"/>
            </w14:solidFill>
          </w14:textFill>
        </w:rPr>
        <w:t xml:space="preserve">Initial inventory effort: </w:t>
      </w:r>
      <w:r>
        <w:rPr>
          <w:rFonts w:ascii="Aptos" w:cs="Aptos" w:hAnsi="Aptos" w:eastAsia="Aptos"/>
          <w:i w:val="1"/>
          <w:iCs w:val="1"/>
          <w:outline w:val="0"/>
          <w:color w:val="2f6f8f"/>
          <w:u w:color="2f6f8f"/>
          <w:rtl w:val="0"/>
          <w:lang w:val="en-US"/>
          <w14:textFill>
            <w14:solidFill>
              <w14:srgbClr w14:val="2F6F8F"/>
            </w14:solidFill>
          </w14:textFill>
        </w:rPr>
        <w:t>[Describe any staff, student, work-study, or temporary support needed]</w:t>
      </w:r>
    </w:p>
    <w:p>
      <w:pPr>
        <w:pStyle w:val="Body A"/>
        <w:spacing w:after="80"/>
      </w:pPr>
      <w:r>
        <w:rPr>
          <w:rFonts w:ascii="Aptos" w:cs="Aptos" w:hAnsi="Aptos" w:eastAsia="Aptos"/>
          <w:b w:val="1"/>
          <w:bCs w:val="1"/>
          <w:outline w:val="0"/>
          <w:color w:val="24344d"/>
          <w:u w:color="24344d"/>
          <w:rtl w:val="0"/>
          <w:lang w:val="en-US"/>
          <w14:textFill>
            <w14:solidFill>
              <w14:srgbClr w14:val="24344D"/>
            </w14:solidFill>
          </w14:textFill>
        </w:rPr>
        <w:t xml:space="preserve">Ongoing responsibility: </w:t>
      </w:r>
      <w:r>
        <w:rPr>
          <w:rFonts w:ascii="Aptos" w:cs="Aptos" w:hAnsi="Aptos" w:eastAsia="Aptos"/>
          <w:i w:val="1"/>
          <w:iCs w:val="1"/>
          <w:outline w:val="0"/>
          <w:color w:val="2f6f8f"/>
          <w:u w:color="2f6f8f"/>
          <w:rtl w:val="0"/>
          <w:lang w:val="en-US"/>
          <w14:textFill>
            <w14:solidFill>
              <w14:srgbClr w14:val="2F6F8F"/>
            </w14:solidFill>
          </w14:textFill>
        </w:rPr>
        <w:t>[Who will oversee the process and how the work will be shared]</w:t>
      </w:r>
    </w:p>
    <w:p>
      <w:pPr>
        <w:pStyle w:val="Body A"/>
        <w:spacing w:after="80"/>
      </w:pPr>
      <w:r>
        <w:rPr>
          <w:rFonts w:ascii="Aptos" w:cs="Aptos" w:hAnsi="Aptos" w:eastAsia="Aptos"/>
          <w:b w:val="1"/>
          <w:bCs w:val="1"/>
          <w:outline w:val="0"/>
          <w:color w:val="24344d"/>
          <w:u w:color="24344d"/>
          <w:rtl w:val="0"/>
          <w:lang w:val="en-US"/>
          <w14:textFill>
            <w14:solidFill>
              <w14:srgbClr w14:val="24344D"/>
            </w14:solidFill>
          </w14:textFill>
        </w:rPr>
        <w:t xml:space="preserve">Implementation approach: </w:t>
      </w:r>
      <w:r>
        <w:rPr>
          <w:rFonts w:ascii="Aptos" w:cs="Aptos" w:hAnsi="Aptos" w:eastAsia="Aptos"/>
          <w:i w:val="1"/>
          <w:iCs w:val="1"/>
          <w:outline w:val="0"/>
          <w:color w:val="2f6f8f"/>
          <w:u w:color="2f6f8f"/>
          <w:rtl w:val="0"/>
          <w:lang w:val="en-US"/>
          <w14:textFill>
            <w14:solidFill>
              <w14:srgbClr w14:val="2F6F8F"/>
            </w14:solidFill>
          </w14:textFill>
        </w:rPr>
        <w:t>[How the department will begin: active productions first, one collection at a time, student/work-study project, etc.]</w:t>
      </w:r>
    </w:p>
    <w:p>
      <w:pPr>
        <w:pStyle w:val="Body A"/>
        <w:spacing w:after="80"/>
      </w:pPr>
      <w:r>
        <w:rPr>
          <w:rFonts w:ascii="Aptos" w:cs="Aptos" w:hAnsi="Aptos" w:eastAsia="Aptos"/>
          <w:b w:val="1"/>
          <w:bCs w:val="1"/>
          <w:rtl w:val="0"/>
          <w:lang w:val="en-US"/>
        </w:rPr>
        <w:t xml:space="preserve">Expected outcome: </w:t>
      </w:r>
      <w:r>
        <w:rPr>
          <w:rtl w:val="0"/>
          <w:lang w:val="en-US"/>
        </w:rPr>
        <w:t>With the software and process in place, the department will be able to maintain more reliable resource information and use it to support stewardship, budgeting, risk documentation, sustainability, and long-term planning.</w:t>
      </w:r>
    </w:p>
    <w:sectPr>
      <w:headerReference w:type="default" r:id="rId4"/>
      <w:footerReference w:type="default" r:id="rId5"/>
      <w:pgSz w:w="12240" w:h="15840" w:orient="portrait"/>
      <w:pgMar w:top="936" w:right="1080" w:bottom="936"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ptos Display">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itle">
    <w:name w:val="Title"/>
    <w:next w:val="Body A"/>
    <w:pPr>
      <w:keepNext w:val="0"/>
      <w:keepLines w:val="0"/>
      <w:pageBreakBefore w:val="0"/>
      <w:widowControl w:val="1"/>
      <w:pBdr>
        <w:top w:val="nil"/>
        <w:left w:val="nil"/>
        <w:bottom w:val="single" w:color="4f81bd" w:sz="8" w:space="0" w:shadow="0" w:frame="0"/>
        <w:right w:val="nil"/>
      </w:pBdr>
      <w:shd w:val="clear" w:color="auto" w:fill="auto"/>
      <w:suppressAutoHyphens w:val="0"/>
      <w:bidi w:val="0"/>
      <w:spacing w:before="0" w:after="120" w:line="240" w:lineRule="auto"/>
      <w:ind w:left="0" w:right="0" w:firstLine="0"/>
      <w:jc w:val="left"/>
      <w:outlineLvl w:val="9"/>
    </w:pPr>
    <w:rPr>
      <w:rFonts w:ascii="Aptos Display" w:cs="Aptos Display" w:hAnsi="Aptos Display" w:eastAsia="Aptos Display"/>
      <w:b w:val="1"/>
      <w:bCs w:val="1"/>
      <w:i w:val="0"/>
      <w:iCs w:val="0"/>
      <w:caps w:val="0"/>
      <w:smallCaps w:val="0"/>
      <w:strike w:val="0"/>
      <w:dstrike w:val="0"/>
      <w:outline w:val="0"/>
      <w:color w:val="24344d"/>
      <w:spacing w:val="5"/>
      <w:kern w:val="28"/>
      <w:position w:val="0"/>
      <w:sz w:val="48"/>
      <w:szCs w:val="48"/>
      <w:u w:val="none" w:color="24344d"/>
      <w:shd w:val="nil" w:color="auto" w:fill="auto"/>
      <w:vertAlign w:val="baseline"/>
      <w:lang w:val="en-US"/>
      <w14:textOutline w14:w="12700" w14:cap="flat">
        <w14:noFill/>
        <w14:miter w14:lim="400000"/>
      </w14:textOutline>
      <w14:textFill>
        <w14:solidFill>
          <w14:srgbClr w14:val="24344D"/>
        </w14:solidFill>
      </w14:textFill>
    </w:rPr>
  </w:style>
  <w:style w:type="paragraph" w:styleId="Heading">
    <w:name w:val="Heading"/>
    <w:next w:val="Body A"/>
    <w:pPr>
      <w:keepNext w:val="1"/>
      <w:keepLines w:val="1"/>
      <w:pageBreakBefore w:val="0"/>
      <w:widowControl w:val="1"/>
      <w:shd w:val="clear" w:color="auto" w:fill="auto"/>
      <w:suppressAutoHyphens w:val="0"/>
      <w:bidi w:val="0"/>
      <w:spacing w:before="200" w:after="100" w:line="259" w:lineRule="auto"/>
      <w:ind w:left="0" w:right="0" w:firstLine="0"/>
      <w:jc w:val="left"/>
      <w:outlineLvl w:val="0"/>
    </w:pPr>
    <w:rPr>
      <w:rFonts w:ascii="Aptos" w:cs="Aptos" w:hAnsi="Aptos" w:eastAsia="Aptos"/>
      <w:b w:val="1"/>
      <w:bCs w:val="1"/>
      <w:i w:val="0"/>
      <w:iCs w:val="0"/>
      <w:caps w:val="0"/>
      <w:smallCaps w:val="0"/>
      <w:strike w:val="0"/>
      <w:dstrike w:val="0"/>
      <w:outline w:val="0"/>
      <w:color w:val="24344d"/>
      <w:spacing w:val="0"/>
      <w:kern w:val="0"/>
      <w:position w:val="0"/>
      <w:sz w:val="30"/>
      <w:szCs w:val="30"/>
      <w:u w:val="none" w:color="24344d"/>
      <w:shd w:val="nil" w:color="auto" w:fill="auto"/>
      <w:vertAlign w:val="baseline"/>
      <w:lang w:val="en-US"/>
      <w14:textOutline w14:w="12700" w14:cap="flat">
        <w14:noFill/>
        <w14:miter w14:lim="400000"/>
      </w14:textOutline>
      <w14:textFill>
        <w14:solidFill>
          <w14:srgbClr w14:val="24344D"/>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List Bullet">
    <w:name w:val="List Bullet"/>
    <w:next w:val="List Bullet"/>
    <w:pPr>
      <w:keepNext w:val="0"/>
      <w:keepLines w:val="0"/>
      <w:pageBreakBefore w:val="0"/>
      <w:widowControl w:val="1"/>
      <w:shd w:val="clear" w:color="auto" w:fill="auto"/>
      <w:tabs>
        <w:tab w:val="left" w:pos="360"/>
      </w:tabs>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ptos Display"/>
        <a:ea typeface="Aptos Display"/>
        <a:cs typeface="Aptos Display"/>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